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附件6：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Hans"/>
        </w:rPr>
        <w:t>全自动纯水机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宋体" w:hAnsi="宋体" w:cs="宋体" w:eastAsiaTheme="minorEastAsia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1）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Hans"/>
        </w:rPr>
        <w:t>基本要求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Hans"/>
        </w:rPr>
        <w:t>：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Hans"/>
        </w:rPr>
        <w:t>产水量：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Hans"/>
        </w:rPr>
        <w:t>00L/H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Hans"/>
        </w:rPr>
        <w:t>，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Hans"/>
        </w:rPr>
        <w:t>水利用率 ≥60%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Hans"/>
        </w:rPr>
        <w:t>，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Hans"/>
        </w:rPr>
        <w:t>脱盐率 ≥ 99.%，产水电导率：≤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Hans"/>
        </w:rPr>
        <w:t>1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Hans"/>
        </w:rPr>
        <w:t xml:space="preserve">5us/cm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2）设备主要技术要求/标准性能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2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.1）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 xml:space="preserve">以城市自来水为水源直接制备纯化水，产水水质符合 CJ 94-1999规定；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2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.2）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系统管道采用全密封式运行，采用预处理+反渗透处理技术，自带灭菌功能，预处理系统自动冲洗及再生运行，反渗透系统具有自动脉冲冲洗功能；灭菌系统自动运行，无需人工操作。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Hans"/>
        </w:rPr>
        <w:t>.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Hans"/>
        </w:rPr>
        <w:t>3）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系统采用多层闭环控制系统，具有过载、短路、自动复位等功能，具备无水保护，压力保护等多重保护，可实现多功能在线监测及手自动切换功能。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Hans"/>
        </w:rPr>
        <w:t>.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Hans"/>
        </w:rPr>
        <w:t>4）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供水系统采用稳压供水技术，输出稳定、无间断；完善的应急方案，可实现故障切换，保证供水。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Hans"/>
        </w:rPr>
        <w:t>.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5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Hans"/>
        </w:rPr>
        <w:t>）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纯水储水及管道采用无残留式消毒、灭菌，无二次污染，独立的循环管道确保全面消毒,维护末端用水水质。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3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）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控制方式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采用微电脑自动控制系统、按钮操作，在线显示产水电导率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4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）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预处理系统由机械过滤器、软化过滤器、保安过滤器组成，罐体采用内衬ABS外绕FRP的树脂罐，阀体为全自动控制阀，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软化过滤器：滤料为001x7型离子树脂，保安过滤器采用PE材质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5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）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反渗透系统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处理方式：单级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高压泵要求：流量≥300L/H，法兰连接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膜元件要求；脱盐率≥99%、膜片类型为：芳香族聚酰胺复合膜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6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）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纯水供水系统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由储水箱及纯水泵、后处理系统等组成，纯水泵：变频供水，流量≥2T/H， 水箱：无菌水箱，容积：≥500L。供水同时受水箱液位和压力传感的双重控制，以实现整个系统的平衡、稳定运行和对水泵的保护。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7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）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管路要求：优质U-PVC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ab/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8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）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消毒系统：自产臭氧紫外线。消毒能力强，对水质不造成污染且能保证实时消毒。</w:t>
      </w:r>
    </w:p>
    <w:p>
      <w:pPr>
        <w:snapToGrid/>
        <w:spacing w:before="0" w:beforeAutospacing="0" w:after="0" w:afterAutospacing="0" w:line="240" w:lineRule="auto"/>
        <w:ind w:firstLine="1260" w:firstLineChars="600"/>
        <w:jc w:val="both"/>
        <w:textAlignment w:val="baseline"/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独立的管路消毒可实现对管路及其储水的定期消毒。</w:t>
      </w:r>
    </w:p>
    <w:p>
      <w:pPr>
        <w:snapToGrid/>
        <w:spacing w:before="0" w:beforeAutospacing="0" w:after="0" w:afterAutospacing="0" w:line="240" w:lineRule="auto"/>
        <w:ind w:firstLine="1260" w:firstLineChars="600"/>
        <w:jc w:val="both"/>
        <w:textAlignment w:val="baseline"/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精密过滤器可除去消毒后产生的微生物及细菌残留，阻止生物膜的产生。</w:t>
      </w:r>
    </w:p>
    <w:p>
      <w:pPr>
        <w:snapToGrid/>
        <w:spacing w:before="0" w:beforeAutospacing="0" w:after="0" w:afterAutospacing="0" w:line="240" w:lineRule="auto"/>
        <w:ind w:firstLine="1260" w:firstLineChars="600"/>
        <w:jc w:val="both"/>
        <w:textAlignment w:val="baseline"/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循环管路确保纯水流动性，管道紫外线实时流水消毒。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9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）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主要配置：</w:t>
      </w:r>
      <w:r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 xml:space="preserve"> </w:t>
      </w: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34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noWrap w:val="0"/>
            <w:vAlign w:val="top"/>
          </w:tcPr>
          <w:p>
            <w:pP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6346" w:type="dxa"/>
            <w:noWrap w:val="0"/>
            <w:vAlign w:val="top"/>
          </w:tcPr>
          <w:p>
            <w:pP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6346" w:type="dxa"/>
            <w:noWrap w:val="0"/>
            <w:vAlign w:val="top"/>
          </w:tcPr>
          <w:p>
            <w:pP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  <w:lang w:val="en-US" w:eastAsia="zh-Hans"/>
              </w:rPr>
              <w:t>主机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6346" w:type="dxa"/>
            <w:noWrap w:val="0"/>
            <w:vAlign w:val="top"/>
          </w:tcPr>
          <w:p>
            <w:pP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  <w:lang w:val="en-US" w:eastAsia="zh-Hans"/>
              </w:rPr>
              <w:t>预处理系统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  <w:lang w:val="en-US" w:eastAsia="zh-Hans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6346" w:type="dxa"/>
            <w:noWrap w:val="0"/>
            <w:vAlign w:val="top"/>
          </w:tcPr>
          <w:p>
            <w:pP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  <w:lang w:val="en-US" w:eastAsia="zh-Hans"/>
              </w:rPr>
              <w:t>反渗透系统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  <w:lang w:val="en-US" w:eastAsia="zh-Hans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6346" w:type="dxa"/>
            <w:noWrap w:val="0"/>
            <w:vAlign w:val="top"/>
          </w:tcPr>
          <w:p>
            <w:pP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  <w:lang w:val="en-US" w:eastAsia="zh-Hans"/>
              </w:rPr>
              <w:t>消毒系统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  <w:lang w:val="en-US" w:eastAsia="zh-Hans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6346" w:type="dxa"/>
            <w:noWrap w:val="0"/>
            <w:vAlign w:val="top"/>
          </w:tcPr>
          <w:p>
            <w:pPr>
              <w:rPr>
                <w:rFonts w:hint="default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  <w:lang w:val="en-US" w:eastAsia="zh-CN"/>
              </w:rPr>
              <w:t>供水系统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6346" w:type="dxa"/>
            <w:noWrap w:val="0"/>
            <w:vAlign w:val="top"/>
          </w:tcPr>
          <w:p>
            <w:pP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产品说明书、合格证、保修卡、操作流程</w:t>
            </w: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资料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default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1套</w:t>
            </w:r>
          </w:p>
        </w:tc>
      </w:tr>
    </w:tbl>
    <w:p>
      <w:pPr>
        <w:rPr>
          <w:rFonts w:hint="default" w:asciiTheme="minorEastAsia" w:hAnsiTheme="minorEastAsia"/>
          <w:b w:val="0"/>
          <w:bCs w:val="0"/>
          <w:sz w:val="21"/>
          <w:szCs w:val="21"/>
        </w:rPr>
      </w:pPr>
    </w:p>
    <w:p>
      <w:pPr>
        <w:rPr>
          <w:rFonts w:hint="eastAsia"/>
          <w:b w:val="0"/>
          <w:bCs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GM5ZTM0ZDcyNWEyZWYzMmYwMTg2MzI3OTVhOWMifQ=="/>
  </w:docVars>
  <w:rsids>
    <w:rsidRoot w:val="00000000"/>
    <w:rsid w:val="63B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804</Words>
  <Characters>863</Characters>
  <Lines>0</Lines>
  <Paragraphs>0</Paragraphs>
  <TotalTime>0</TotalTime>
  <ScaleCrop>false</ScaleCrop>
  <LinksUpToDate>false</LinksUpToDate>
  <CharactersWithSpaces>874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2023-07-14T08:42:01Z</dcterms:created>
  <dc:creator>Administrator</dc:creator>
  <cp:lastModifiedBy>微信用户</cp:lastModifiedBy>
  <dcterms:modified xsi:type="dcterms:W3CDTF">2023-07-14T08:42:29Z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87C65FCC95BD4E33AEA2146E40259DDE_12</vt:lpwstr>
  </property>
</Properties>
</file>